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97"/>
        <w:gridCol w:w="1559"/>
        <w:gridCol w:w="397"/>
        <w:gridCol w:w="1477"/>
        <w:gridCol w:w="397"/>
        <w:gridCol w:w="3211"/>
        <w:gridCol w:w="70"/>
        <w:gridCol w:w="945"/>
        <w:gridCol w:w="945"/>
        <w:gridCol w:w="875"/>
        <w:gridCol w:w="70"/>
      </w:tblGrid>
      <w:tr w:rsidR="007577FF" w:rsidRPr="007577FF" w14:paraId="77D22E3D" w14:textId="77777777" w:rsidTr="003B3A1E">
        <w:trPr>
          <w:trHeight w:val="65"/>
        </w:trPr>
        <w:tc>
          <w:tcPr>
            <w:tcW w:w="7508" w:type="dxa"/>
            <w:gridSpan w:val="7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4BE8798B" w14:textId="29D43E4A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45C3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0045C3"/>
                <w:sz w:val="56"/>
                <w:szCs w:val="56"/>
                <w:lang w:eastAsia="en-GB"/>
              </w:rPr>
              <w:t xml:space="preserve">Staff Wellbeing Audit Tool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A1FD" w14:textId="337D528A" w:rsidR="007577FF" w:rsidRPr="007577FF" w:rsidRDefault="0023644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toshi" w:eastAsia="Times New Roman" w:hAnsi="Satoshi" w:cs="Arial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9D44E13" wp14:editId="0D2BC0AF">
                  <wp:simplePos x="0" y="0"/>
                  <wp:positionH relativeFrom="column">
                    <wp:posOffset>736600</wp:posOffset>
                  </wp:positionH>
                  <wp:positionV relativeFrom="page">
                    <wp:posOffset>-129540</wp:posOffset>
                  </wp:positionV>
                  <wp:extent cx="868045" cy="1212850"/>
                  <wp:effectExtent l="0" t="0" r="0" b="6350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644F" w:rsidRPr="0023644F" w14:paraId="0C1F0933" w14:textId="77777777" w:rsidTr="003B3A1E">
        <w:trPr>
          <w:gridAfter w:val="1"/>
          <w:wAfter w:w="70" w:type="dxa"/>
          <w:trHeight w:val="283"/>
        </w:trPr>
        <w:tc>
          <w:tcPr>
            <w:tcW w:w="397" w:type="dxa"/>
            <w:shd w:val="clear" w:color="000000" w:fill="FF0000"/>
            <w:noWrap/>
            <w:tcMar>
              <w:top w:w="57" w:type="dxa"/>
              <w:bottom w:w="57" w:type="dxa"/>
            </w:tcMar>
            <w:vAlign w:val="center"/>
            <w:hideMark/>
          </w:tcPr>
          <w:p w14:paraId="5544D75D" w14:textId="77777777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11FEA6" w14:textId="77777777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  <w:t xml:space="preserve">Not in place </w:t>
            </w:r>
          </w:p>
        </w:tc>
        <w:tc>
          <w:tcPr>
            <w:tcW w:w="397" w:type="dxa"/>
            <w:shd w:val="clear" w:color="auto" w:fill="FFC000"/>
            <w:tcMar>
              <w:top w:w="57" w:type="dxa"/>
              <w:bottom w:w="57" w:type="dxa"/>
            </w:tcMar>
            <w:vAlign w:val="center"/>
          </w:tcPr>
          <w:p w14:paraId="7D63114D" w14:textId="6813A06D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4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9B9F7F" w14:textId="3B5CAF80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  <w:t xml:space="preserve">Partly in place </w:t>
            </w:r>
          </w:p>
        </w:tc>
        <w:tc>
          <w:tcPr>
            <w:tcW w:w="397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14:paraId="5942B3F6" w14:textId="77777777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321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6F8B4" w14:textId="70D49E6D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  <w:t xml:space="preserve">Fully in place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FD24" w14:textId="77777777" w:rsidR="009E782E" w:rsidRPr="0023644F" w:rsidRDefault="009E782E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23644F" w:rsidRPr="0023644F" w14:paraId="509A2EB4" w14:textId="77777777" w:rsidTr="003B3A1E">
        <w:trPr>
          <w:trHeight w:val="68"/>
        </w:trPr>
        <w:tc>
          <w:tcPr>
            <w:tcW w:w="10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55BDF81" w14:textId="50269A2E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Times New Roman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23644F" w:rsidRPr="0023644F" w14:paraId="64F9B463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5FE9D3C" w14:textId="40278FDB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A structured approach to prioritising staff mental health and </w:t>
            </w:r>
            <w:r w:rsidR="008D7B17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wellbeing in schools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E2EB9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744C0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F94A7E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7EC815D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A8A1CA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mental health and wellbeing strategic commitment and/or policy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83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FEB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F869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3126ACA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72BB38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mental health and wellbeing plan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38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5B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5F9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11EB1293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497AB0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Policies that support staff mental health and wellbeing (mental health at work, flexible working etc)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87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74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F44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A010015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2344F8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Staff wellbeing group to lead and develop staff initiatives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B0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B0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EFC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7FC26976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36D0E7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566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43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17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0BD33900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54DC76" w14:textId="2BF8F6A1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Creating the conditions and culture to drive positive mental </w:t>
            </w:r>
            <w:r w:rsidR="009E782E"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health outcomes for all staff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9A79C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3F8CA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002F08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35C7B99E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13E7E6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Measures in place to monitor and manage stress and burnout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9F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8CB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237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6280360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A28A20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18"/>
                <w:szCs w:val="18"/>
                <w:lang w:eastAsia="en-GB"/>
              </w:rPr>
              <w:t> </w:t>
            </w: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Tools to help with work/life balance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3A9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684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3319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17008C2A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165AA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Staff collegiality and appreciation fostered and promoted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D1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93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0772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333B55D2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0DE26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Peer support/mentoring/supervision available to staff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62C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75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155F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666EFAC7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6582D8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External support for head teacher (mentoring, supervision, peer support)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45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8F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843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6E0BF59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A97A039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A safe comfortable space for staff to take time out and de-brief outside of staff room environment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52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3D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CE8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F9C6775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7199CE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Inclusive opportunities for all staff to participate in social activities not linked to work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FD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C3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35E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02D595DC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E39E89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18"/>
                <w:szCs w:val="18"/>
                <w:lang w:eastAsia="en-GB"/>
              </w:rPr>
              <w:t> </w:t>
            </w: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Physical working spaces that promote wellbeing (quiet rooms, plants, exposure to light)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B9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F2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082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1A039221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6E2D16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E1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4A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F79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756D95CC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609C86B" w14:textId="109FFA85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Promoting an open culture around mental health</w:t>
            </w:r>
            <w:r w:rsidR="009E782E"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5A6ED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5AE9E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2CBF472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0B3E700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18B1E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SLT encourage regular discussion/openness on mental health and wellbeing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383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AC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485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23C535B5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0B1BED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Wellbeing part of daily operations/activity (inductions, 121s, team meetings)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81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D6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FB9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6298339F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FAA2B8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Promotion/awareness campaigns of mental health and wellbeing across the school community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4E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232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27D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1DFBA57D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4014B8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SLT model good working practices and self-care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620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E5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70A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7956329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A0878B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E5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6E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62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0E564FE1" w14:textId="77777777" w:rsidTr="008D7B17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909F030" w14:textId="766D30E8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Building confidence and capability, with particular focus on line </w:t>
            </w:r>
            <w:r w:rsidR="008D7B17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managers and wellbeing leads.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50488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FBAD9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13EB94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230EADAA" w14:textId="77777777" w:rsidTr="003B3A1E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0432D0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mental health and wellbeing lead in place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C0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769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D2D2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012BB08" w14:textId="77777777" w:rsidTr="003B3A1E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529117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Line manager mental health and wellbeing training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A1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99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392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F37CF48" w14:textId="77777777" w:rsidTr="003B3A1E">
        <w:trPr>
          <w:trHeight w:val="65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99DFE8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Return to work conducted with a focus on wellbeing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FB4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6C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F5D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00820A50" w14:textId="77777777" w:rsidTr="003B3A1E">
        <w:trPr>
          <w:trHeight w:val="289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B17F45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confident and encouraged to recognise and support/signpost when a colleagues mental health and wellbeing is under threat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39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36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35C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</w:tbl>
    <w:p w14:paraId="044ACE63" w14:textId="77777777" w:rsidR="003B3A1E" w:rsidRPr="0023644F" w:rsidRDefault="003B3A1E">
      <w:pPr>
        <w:rPr>
          <w:color w:val="404040" w:themeColor="text1" w:themeTint="BF"/>
        </w:rPr>
      </w:pPr>
      <w:r w:rsidRPr="0023644F">
        <w:rPr>
          <w:color w:val="404040" w:themeColor="text1" w:themeTint="BF"/>
        </w:rPr>
        <w:br w:type="page"/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508"/>
        <w:gridCol w:w="945"/>
        <w:gridCol w:w="945"/>
        <w:gridCol w:w="945"/>
      </w:tblGrid>
      <w:tr w:rsidR="0023644F" w:rsidRPr="0023644F" w14:paraId="5189198C" w14:textId="77777777" w:rsidTr="003B3A1E">
        <w:trPr>
          <w:trHeight w:val="65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D256D0" w14:textId="4E3C8F1B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226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DC7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00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9A1A8EE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3A5E881" w14:textId="55FA3349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Providing tools and support to all staff, including those living </w:t>
            </w:r>
            <w:r w:rsidR="008D7B17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with a mental health problem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D54BC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C8932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4C2A0D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3717F18C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9DA953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Staff know where to access internal and external sources of support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84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75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693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3AC3DDC1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C9A5E0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Access to counselling/EAP/mental health services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0809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4C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A22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16612DC9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1F0D4F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Processes in place to support staff after difficult or distressing incidents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B2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4D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41E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33C1EF5C" w14:textId="77777777" w:rsidTr="003B3A1E">
        <w:trPr>
          <w:trHeight w:val="123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9263CF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training available in wellbeing and mental health to promote self-care, support and normalising a supportive culture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3AAD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71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4C5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57571475" w14:textId="77777777" w:rsidTr="003B3A1E">
        <w:trPr>
          <w:trHeight w:val="65"/>
        </w:trPr>
        <w:tc>
          <w:tcPr>
            <w:tcW w:w="7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20862C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BA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2E8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E3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695D2FC8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2B8B15C" w14:textId="7A8E4CDC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Creating a transparent approach to measuring staff mental </w:t>
            </w:r>
            <w:r w:rsidR="008D7B17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23644F">
              <w:rPr>
                <w:rFonts w:ascii="Satoshi" w:eastAsia="Times New Roman" w:hAnsi="Satoshi" w:cs="Arial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health and wellbeing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78DCA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B4EDE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5174921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7C0D1766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6FEFFB9" w14:textId="5C9537D1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wellbeing promoted and monitored by school gove</w:t>
            </w:r>
            <w:r w:rsidR="009E782E"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r</w:t>
            </w: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nors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1D8B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653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9620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286F6A71" w14:textId="77777777" w:rsidTr="009E782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4792BA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>Staff wellbeing survey (at least annual)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A7F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426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1B55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  <w:tr w:rsidR="0023644F" w:rsidRPr="0023644F" w14:paraId="476D9766" w14:textId="77777777" w:rsidTr="003B3A1E">
        <w:trPr>
          <w:trHeight w:val="65"/>
        </w:trPr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5532D5E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</w:pPr>
            <w:r w:rsidRPr="0023644F">
              <w:rPr>
                <w:rFonts w:ascii="Satoshi" w:eastAsia="Times New Roman" w:hAnsi="Satoshi" w:cs="Arial"/>
                <w:color w:val="404040" w:themeColor="text1" w:themeTint="BF"/>
                <w:sz w:val="18"/>
                <w:szCs w:val="18"/>
                <w:lang w:eastAsia="en-GB"/>
              </w:rPr>
              <w:t xml:space="preserve">An accountability structure for staff mental health and wellbeing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174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B4F7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623C" w14:textId="77777777" w:rsidR="007577FF" w:rsidRPr="0023644F" w:rsidRDefault="007577FF" w:rsidP="009E782E">
            <w:pPr>
              <w:spacing w:after="0" w:line="240" w:lineRule="auto"/>
              <w:rPr>
                <w:rFonts w:ascii="Satoshi" w:eastAsia="Times New Roman" w:hAnsi="Satoshi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23644F">
              <w:rPr>
                <w:rFonts w:ascii="Calibri" w:eastAsia="Times New Roman" w:hAnsi="Calibri" w:cs="Calibri"/>
                <w:color w:val="404040" w:themeColor="text1" w:themeTint="BF"/>
                <w:sz w:val="20"/>
                <w:szCs w:val="20"/>
                <w:lang w:eastAsia="en-GB"/>
              </w:rPr>
              <w:t> </w:t>
            </w:r>
          </w:p>
        </w:tc>
      </w:tr>
    </w:tbl>
    <w:p w14:paraId="0A1BB7FE" w14:textId="4DC1C6BE" w:rsidR="007577FF" w:rsidRDefault="0023644F" w:rsidP="007577F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F24BA8" wp14:editId="6394F0FF">
            <wp:simplePos x="0" y="0"/>
            <wp:positionH relativeFrom="column">
              <wp:posOffset>3136900</wp:posOffset>
            </wp:positionH>
            <wp:positionV relativeFrom="page">
              <wp:posOffset>7350125</wp:posOffset>
            </wp:positionV>
            <wp:extent cx="3532505" cy="25717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7FF" w:rsidSect="003B3A1E">
      <w:footerReference w:type="default" r:id="rId8"/>
      <w:pgSz w:w="11906" w:h="16838"/>
      <w:pgMar w:top="720" w:right="720" w:bottom="1134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F2E8" w14:textId="77777777" w:rsidR="000435D7" w:rsidRDefault="000435D7" w:rsidP="009E782E">
      <w:pPr>
        <w:spacing w:after="0" w:line="240" w:lineRule="auto"/>
      </w:pPr>
      <w:r>
        <w:separator/>
      </w:r>
    </w:p>
  </w:endnote>
  <w:endnote w:type="continuationSeparator" w:id="0">
    <w:p w14:paraId="6FAB6AC6" w14:textId="77777777" w:rsidR="000435D7" w:rsidRDefault="000435D7" w:rsidP="009E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683A" w14:textId="6BEC38FE" w:rsidR="009E782E" w:rsidRPr="003B3A1E" w:rsidRDefault="003B3A1E">
    <w:pPr>
      <w:pStyle w:val="Footer"/>
      <w:rPr>
        <w:rFonts w:ascii="Satoshi" w:hAnsi="Satoshi"/>
        <w:b/>
        <w:bCs/>
        <w:color w:val="FFFFFF" w:themeColor="background1"/>
      </w:rPr>
    </w:pPr>
    <w:r w:rsidRPr="003B3A1E">
      <w:rPr>
        <w:rFonts w:ascii="Satoshi" w:hAnsi="Satoshi"/>
        <w:b/>
        <w:bCs/>
        <w:noProof/>
        <w:color w:val="FFFFFF" w:themeColor="background1"/>
        <w:lang w:eastAsia="en-GB"/>
      </w:rPr>
      <w:drawing>
        <wp:anchor distT="0" distB="0" distL="114300" distR="114300" simplePos="0" relativeHeight="251658240" behindDoc="1" locked="0" layoutInCell="1" allowOverlap="1" wp14:anchorId="4B6B86A1" wp14:editId="38A19A87">
          <wp:simplePos x="0" y="0"/>
          <wp:positionH relativeFrom="column">
            <wp:posOffset>-450850</wp:posOffset>
          </wp:positionH>
          <wp:positionV relativeFrom="paragraph">
            <wp:posOffset>-243864</wp:posOffset>
          </wp:positionV>
          <wp:extent cx="7545070" cy="6457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A1E">
      <w:rPr>
        <w:rFonts w:ascii="Satoshi" w:hAnsi="Satoshi"/>
        <w:b/>
        <w:bCs/>
        <w:color w:val="FFFFFF" w:themeColor="background1"/>
      </w:rPr>
      <w:t>www.educationsupport.org.uk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133B9" w14:textId="77777777" w:rsidR="000435D7" w:rsidRDefault="000435D7" w:rsidP="009E782E">
      <w:pPr>
        <w:spacing w:after="0" w:line="240" w:lineRule="auto"/>
      </w:pPr>
      <w:r>
        <w:separator/>
      </w:r>
    </w:p>
  </w:footnote>
  <w:footnote w:type="continuationSeparator" w:id="0">
    <w:p w14:paraId="4B8DECCC" w14:textId="77777777" w:rsidR="000435D7" w:rsidRDefault="000435D7" w:rsidP="009E7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A"/>
    <w:rsid w:val="000435D7"/>
    <w:rsid w:val="001B1561"/>
    <w:rsid w:val="0023644F"/>
    <w:rsid w:val="00397883"/>
    <w:rsid w:val="003B3A1E"/>
    <w:rsid w:val="004C79D5"/>
    <w:rsid w:val="006918FA"/>
    <w:rsid w:val="007577FF"/>
    <w:rsid w:val="008D7B17"/>
    <w:rsid w:val="009E782E"/>
    <w:rsid w:val="00BA1A1A"/>
    <w:rsid w:val="00D26747"/>
    <w:rsid w:val="00F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898A3"/>
  <w15:chartTrackingRefBased/>
  <w15:docId w15:val="{C10F15F3-1264-4FFF-B4BF-4E4533D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Theme="minorHAnsi" w:hAnsi="Merriweather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2E"/>
  </w:style>
  <w:style w:type="paragraph" w:styleId="Footer">
    <w:name w:val="footer"/>
    <w:basedOn w:val="Normal"/>
    <w:link w:val="FooterChar"/>
    <w:uiPriority w:val="99"/>
    <w:unhideWhenUsed/>
    <w:rsid w:val="009E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Priest</dc:creator>
  <cp:keywords/>
  <dc:description/>
  <cp:lastModifiedBy>Claire Renn</cp:lastModifiedBy>
  <cp:revision>4</cp:revision>
  <dcterms:created xsi:type="dcterms:W3CDTF">2022-10-08T11:38:00Z</dcterms:created>
  <dcterms:modified xsi:type="dcterms:W3CDTF">2023-09-21T12:53:00Z</dcterms:modified>
</cp:coreProperties>
</file>